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05A6" w14:textId="317F79DE" w:rsidR="00C139DA" w:rsidRDefault="009B6F60" w:rsidP="00AB4DC6">
      <w:pPr>
        <w:pStyle w:val="Heading1"/>
      </w:pPr>
      <w:r>
        <w:t>RIGOR</w:t>
      </w:r>
    </w:p>
    <w:p w14:paraId="237B5FDC" w14:textId="17045FC2" w:rsidR="0093191C" w:rsidRPr="009C2E2F" w:rsidRDefault="00261466" w:rsidP="009C2E2F">
      <w:pPr>
        <w:pStyle w:val="Heading2"/>
      </w:pPr>
      <w:r>
        <w:t>INTRODUCTION and</w:t>
      </w:r>
      <w:r w:rsidR="0093191C" w:rsidRPr="009C2E2F">
        <w:t xml:space="preserve"> PURPOSE</w:t>
      </w:r>
    </w:p>
    <w:p w14:paraId="00321BE5" w14:textId="56F986DE" w:rsidR="00E70E93" w:rsidRDefault="00F12813" w:rsidP="00044B75">
      <w:r w:rsidRPr="00F12813">
        <w:t>By the end of this module, you sho</w:t>
      </w:r>
      <w:r w:rsidR="00261466">
        <w:t>uld be able to (1) define what rigor</w:t>
      </w:r>
      <w:r w:rsidRPr="00F12813">
        <w:t xml:space="preserve"> means for the purpose of these modules; (2) use the verbs in standards and tools that teachers have available to identify the cognitive complexity in the relevant standards; (3) explain why assessments with an appropriate level of rigor also measure for a range of student thinking and understanding; and (4) use the assessment blueprint to document the level of rigor of each skill you are measuring in assessments you write or select.</w:t>
      </w:r>
    </w:p>
    <w:p w14:paraId="1820A22C" w14:textId="374D9C97" w:rsidR="0093191C" w:rsidRDefault="0093191C" w:rsidP="009C2E2F">
      <w:pPr>
        <w:pStyle w:val="Heading2"/>
      </w:pPr>
      <w:r>
        <w:t>KEY CONCEPTS</w:t>
      </w:r>
    </w:p>
    <w:p w14:paraId="50F22A2B" w14:textId="5FCB7AFA" w:rsidR="00044B75" w:rsidRPr="009B2215" w:rsidRDefault="00F12813" w:rsidP="009C2E2F">
      <w:pPr>
        <w:pStyle w:val="Heading3"/>
      </w:pPr>
      <w:r>
        <w:t>Rigor</w:t>
      </w:r>
    </w:p>
    <w:p w14:paraId="2DC38828" w14:textId="15D6C36D" w:rsidR="009C2E2F" w:rsidRDefault="00AB4DC6" w:rsidP="00000E21">
      <w:r w:rsidRPr="00AB4DC6">
        <w:t>For the purpose of this series of modules, rigor is the cognitive complexity of a skill within a standard or of an assessment item.</w:t>
      </w:r>
      <w:r>
        <w:t xml:space="preserve"> </w:t>
      </w:r>
      <w:r w:rsidRPr="009B77D7">
        <w:t>An assessment has “an appropriate level of rigor” if it includes items that match the level of rigor of the skill or skills you intend students to master. It als</w:t>
      </w:r>
      <w:bookmarkStart w:id="0" w:name="_GoBack"/>
      <w:bookmarkEnd w:id="0"/>
      <w:r w:rsidRPr="009B77D7">
        <w:t>o has an appropriate level of rigor if it measures a range of student thinking and understanding so that it measures what all students know and can do.</w:t>
      </w:r>
      <w:r w:rsidR="009C2E2F" w:rsidRPr="009B77D7">
        <w:rPr>
          <w:rStyle w:val="EndnoteReference"/>
        </w:rPr>
        <w:endnoteReference w:id="1"/>
      </w:r>
    </w:p>
    <w:p w14:paraId="1699A033" w14:textId="77777777" w:rsidR="00AB4DC6" w:rsidRPr="00000E21" w:rsidRDefault="00AB4DC6" w:rsidP="009C2E2F"/>
    <w:p w14:paraId="75489C5E" w14:textId="3D83B1F8" w:rsidR="00044B75" w:rsidRDefault="00E208EA" w:rsidP="009C2E2F">
      <w:pPr>
        <w:pStyle w:val="Heading3"/>
      </w:pPr>
      <w:r>
        <w:t>How to Match the Rigor of Assessment Items to the Rigor of Skills</w:t>
      </w:r>
    </w:p>
    <w:p w14:paraId="12031358" w14:textId="77777777" w:rsidR="00F32CF4" w:rsidRPr="00F32CF4" w:rsidRDefault="00F32CF4" w:rsidP="00F32CF4">
      <w:pPr>
        <w:tabs>
          <w:tab w:val="left" w:pos="2536"/>
        </w:tabs>
      </w:pPr>
      <w:r w:rsidRPr="00F32CF4">
        <w:t xml:space="preserve">To ensure that the rigor or cognitive complexity of each assessment item matches the rigor or cognitive complexity of the skill you intend it to assess, you can study the standard to determine the complexity of each skill embedded within it. </w:t>
      </w:r>
    </w:p>
    <w:p w14:paraId="12795D77" w14:textId="136A61C6" w:rsidR="00000E21" w:rsidRPr="00000E21" w:rsidRDefault="00000E21" w:rsidP="00725DF0"/>
    <w:p w14:paraId="7DA3BFCD" w14:textId="0F8BF765" w:rsidR="00044B75" w:rsidRDefault="00B4315A" w:rsidP="009C2E2F">
      <w:pPr>
        <w:pStyle w:val="Heading3"/>
      </w:pPr>
      <w:r>
        <w:t>How to Use Verbs to Determine a Skill’s Level of Rigor</w:t>
      </w:r>
    </w:p>
    <w:p w14:paraId="3ED10BD9" w14:textId="1CBEBF1B" w:rsidR="004C22D9" w:rsidRPr="004C22D9" w:rsidRDefault="004C22D9" w:rsidP="004C22D9">
      <w:r w:rsidRPr="004C22D9">
        <w:t xml:space="preserve">It is easy to misjudge the rigor in a standard. One common pitfall is to use important words found in the standards to </w:t>
      </w:r>
      <w:r w:rsidR="00725DF0">
        <w:t xml:space="preserve">simplify complicated standards. </w:t>
      </w:r>
      <w:r w:rsidRPr="004C22D9">
        <w:t xml:space="preserve">A helpful tip that we will explore in this module is how to use the </w:t>
      </w:r>
      <w:r w:rsidRPr="004C22D9">
        <w:rPr>
          <w:i/>
        </w:rPr>
        <w:t>verbs</w:t>
      </w:r>
      <w:r w:rsidRPr="004C22D9">
        <w:t>,</w:t>
      </w:r>
      <w:r w:rsidRPr="004C22D9">
        <w:rPr>
          <w:i/>
        </w:rPr>
        <w:t xml:space="preserve"> </w:t>
      </w:r>
      <w:r w:rsidRPr="004C22D9">
        <w:t xml:space="preserve">in the context of the standard as a whole, to determine a skill’s level of cognitive complexity. </w:t>
      </w:r>
    </w:p>
    <w:p w14:paraId="2B4EA218" w14:textId="60848C9D" w:rsidR="00000E21" w:rsidRPr="00000E21" w:rsidRDefault="00000E21" w:rsidP="009C2E2F"/>
    <w:p w14:paraId="7FB36733" w14:textId="62F88412" w:rsidR="00044B75" w:rsidRDefault="002720A9" w:rsidP="009C2E2F">
      <w:pPr>
        <w:pStyle w:val="Heading3"/>
      </w:pPr>
      <w:r>
        <w:t>Tools to Help You Think About Rigor</w:t>
      </w:r>
    </w:p>
    <w:p w14:paraId="12934269" w14:textId="20B0134D" w:rsidR="009C2E2F" w:rsidRDefault="005A4AD7" w:rsidP="00725DF0">
      <w:pPr>
        <w:rPr>
          <w:iCs/>
        </w:rPr>
      </w:pPr>
      <w:r w:rsidRPr="005A4AD7">
        <w:rPr>
          <w:iCs/>
        </w:rPr>
        <w:t xml:space="preserve">You may be familiar with the different tools experts have developed to help you think about rigor. For example, </w:t>
      </w:r>
      <w:r w:rsidR="00FC7ADB" w:rsidRPr="00FC7ADB">
        <w:rPr>
          <w:iCs/>
        </w:rPr>
        <w:t>Bloom’</w:t>
      </w:r>
      <w:r w:rsidR="00725DF0">
        <w:rPr>
          <w:iCs/>
        </w:rPr>
        <w:t xml:space="preserve">s Taxonomy </w:t>
      </w:r>
      <w:r w:rsidR="00FC7ADB" w:rsidRPr="00FC7ADB">
        <w:rPr>
          <w:iCs/>
        </w:rPr>
        <w:t>categorizes c</w:t>
      </w:r>
      <w:r w:rsidR="00725DF0">
        <w:rPr>
          <w:iCs/>
        </w:rPr>
        <w:t>ognitive skills into six levels.</w:t>
      </w:r>
      <w:r w:rsidR="00FC7ADB" w:rsidRPr="00FC7ADB">
        <w:rPr>
          <w:iCs/>
        </w:rPr>
        <w:t xml:space="preserve"> </w:t>
      </w:r>
      <w:r w:rsidR="00725DF0">
        <w:rPr>
          <w:iCs/>
        </w:rPr>
        <w:t xml:space="preserve">Lower-order thinking skills </w:t>
      </w:r>
      <w:r w:rsidR="00FC7ADB" w:rsidRPr="00FC7ADB">
        <w:rPr>
          <w:iCs/>
        </w:rPr>
        <w:t>appear at the bottom of Bloom’s Taxonomy. Higher-order thinking skills appear at the top of the taxonomy.</w:t>
      </w:r>
      <w:r w:rsidR="009C2E2F" w:rsidRPr="00FC7ADB">
        <w:rPr>
          <w:iCs/>
        </w:rPr>
        <w:t xml:space="preserve"> </w:t>
      </w:r>
      <w:r w:rsidR="00FC7ADB" w:rsidRPr="00FC7ADB">
        <w:rPr>
          <w:iCs/>
        </w:rPr>
        <w:t>You can find online several resources to help you categorize verbs according to Bloom’s Taxonomy. For the sake of example, this chart lists a few verbs represe</w:t>
      </w:r>
      <w:r w:rsidR="00725DF0">
        <w:rPr>
          <w:iCs/>
        </w:rPr>
        <w:t>ntative of each level of rigor.</w:t>
      </w:r>
      <w:r w:rsidR="00725DF0" w:rsidRPr="00FC7ADB">
        <w:rPr>
          <w:iCs/>
          <w:vertAlign w:val="superscript"/>
        </w:rPr>
        <w:endnoteReference w:id="2"/>
      </w:r>
    </w:p>
    <w:p w14:paraId="3EB89579" w14:textId="77777777" w:rsidR="00725DF0" w:rsidRDefault="00725DF0" w:rsidP="00725DF0">
      <w:pPr>
        <w:rPr>
          <w:iC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1693"/>
        <w:gridCol w:w="1920"/>
        <w:gridCol w:w="1747"/>
        <w:gridCol w:w="1711"/>
        <w:gridCol w:w="2104"/>
      </w:tblGrid>
      <w:tr w:rsidR="00725DF0" w:rsidRPr="00725DF0" w14:paraId="3CB6FE08" w14:textId="77777777" w:rsidTr="00725DF0">
        <w:trPr>
          <w:trHeight w:val="20"/>
        </w:trPr>
        <w:tc>
          <w:tcPr>
            <w:tcW w:w="0" w:type="auto"/>
            <w:shd w:val="clear" w:color="auto" w:fill="1B4873" w:themeFill="accent2"/>
            <w:vAlign w:val="center"/>
          </w:tcPr>
          <w:p w14:paraId="5491399F" w14:textId="6EBB610E" w:rsidR="00725DF0" w:rsidRPr="00725DF0" w:rsidRDefault="00725DF0" w:rsidP="00DF19B9">
            <w:pPr>
              <w:rPr>
                <w:rFonts w:asciiTheme="majorHAnsi" w:hAnsiTheme="majorHAnsi"/>
                <w:b/>
                <w:sz w:val="18"/>
                <w:szCs w:val="18"/>
              </w:rPr>
            </w:pPr>
            <w:r w:rsidRPr="00725DF0">
              <w:rPr>
                <w:rFonts w:asciiTheme="majorHAnsi" w:hAnsiTheme="majorHAnsi"/>
                <w:b/>
                <w:color w:val="FFFFFF" w:themeColor="background1"/>
                <w:sz w:val="18"/>
                <w:szCs w:val="18"/>
              </w:rPr>
              <w:t>1. Remember</w:t>
            </w:r>
          </w:p>
        </w:tc>
        <w:tc>
          <w:tcPr>
            <w:tcW w:w="0" w:type="auto"/>
            <w:shd w:val="clear" w:color="auto" w:fill="1B4873" w:themeFill="accent2"/>
            <w:vAlign w:val="center"/>
          </w:tcPr>
          <w:p w14:paraId="625C6A3E" w14:textId="77777777" w:rsidR="00725DF0" w:rsidRPr="00725DF0" w:rsidRDefault="00725DF0" w:rsidP="00DF19B9">
            <w:pPr>
              <w:rPr>
                <w:rFonts w:asciiTheme="majorHAnsi" w:hAnsiTheme="majorHAnsi"/>
                <w:b/>
                <w:sz w:val="18"/>
                <w:szCs w:val="18"/>
              </w:rPr>
            </w:pPr>
            <w:r w:rsidRPr="00725DF0">
              <w:rPr>
                <w:rFonts w:asciiTheme="majorHAnsi" w:hAnsiTheme="majorHAnsi"/>
                <w:b/>
                <w:color w:val="FFFFFF" w:themeColor="background1"/>
                <w:sz w:val="18"/>
                <w:szCs w:val="18"/>
              </w:rPr>
              <w:t>2. Understand</w:t>
            </w:r>
          </w:p>
        </w:tc>
        <w:tc>
          <w:tcPr>
            <w:tcW w:w="0" w:type="auto"/>
            <w:shd w:val="clear" w:color="auto" w:fill="1B4873" w:themeFill="accent2"/>
            <w:vAlign w:val="center"/>
          </w:tcPr>
          <w:p w14:paraId="0E64B26E" w14:textId="77777777" w:rsidR="00725DF0" w:rsidRPr="00725DF0" w:rsidRDefault="00725DF0" w:rsidP="00DF19B9">
            <w:pPr>
              <w:rPr>
                <w:rFonts w:asciiTheme="majorHAnsi" w:hAnsiTheme="majorHAnsi"/>
                <w:b/>
                <w:sz w:val="18"/>
                <w:szCs w:val="18"/>
              </w:rPr>
            </w:pPr>
            <w:r w:rsidRPr="00725DF0">
              <w:rPr>
                <w:rFonts w:asciiTheme="majorHAnsi" w:hAnsiTheme="majorHAnsi"/>
                <w:b/>
                <w:color w:val="FFFFFF" w:themeColor="background1"/>
                <w:sz w:val="18"/>
                <w:szCs w:val="18"/>
              </w:rPr>
              <w:t>3. Apply</w:t>
            </w:r>
          </w:p>
        </w:tc>
        <w:tc>
          <w:tcPr>
            <w:tcW w:w="0" w:type="auto"/>
            <w:shd w:val="clear" w:color="auto" w:fill="1B4873" w:themeFill="accent2"/>
            <w:vAlign w:val="center"/>
          </w:tcPr>
          <w:p w14:paraId="481DDAA3" w14:textId="77777777" w:rsidR="00725DF0" w:rsidRPr="00725DF0" w:rsidRDefault="00725DF0" w:rsidP="00DF19B9">
            <w:pPr>
              <w:rPr>
                <w:rFonts w:asciiTheme="majorHAnsi" w:hAnsiTheme="majorHAnsi"/>
                <w:b/>
                <w:sz w:val="18"/>
                <w:szCs w:val="18"/>
              </w:rPr>
            </w:pPr>
            <w:r w:rsidRPr="00725DF0">
              <w:rPr>
                <w:rFonts w:asciiTheme="majorHAnsi" w:hAnsiTheme="majorHAnsi"/>
                <w:b/>
                <w:color w:val="FFFFFF" w:themeColor="background1"/>
                <w:sz w:val="18"/>
                <w:szCs w:val="18"/>
              </w:rPr>
              <w:t>4. Analyze</w:t>
            </w:r>
          </w:p>
        </w:tc>
        <w:tc>
          <w:tcPr>
            <w:tcW w:w="0" w:type="auto"/>
            <w:shd w:val="clear" w:color="auto" w:fill="1B4873" w:themeFill="accent2"/>
            <w:vAlign w:val="center"/>
          </w:tcPr>
          <w:p w14:paraId="3C596D4A" w14:textId="77777777" w:rsidR="00725DF0" w:rsidRPr="00725DF0" w:rsidRDefault="00725DF0" w:rsidP="00DF19B9">
            <w:pPr>
              <w:rPr>
                <w:rFonts w:asciiTheme="majorHAnsi" w:hAnsiTheme="majorHAnsi"/>
                <w:b/>
                <w:sz w:val="18"/>
                <w:szCs w:val="18"/>
              </w:rPr>
            </w:pPr>
            <w:r w:rsidRPr="00725DF0">
              <w:rPr>
                <w:rFonts w:asciiTheme="majorHAnsi" w:hAnsiTheme="majorHAnsi"/>
                <w:b/>
                <w:color w:val="FFFFFF" w:themeColor="background1"/>
                <w:sz w:val="18"/>
                <w:szCs w:val="18"/>
              </w:rPr>
              <w:t>5. Evaluate</w:t>
            </w:r>
          </w:p>
        </w:tc>
        <w:tc>
          <w:tcPr>
            <w:tcW w:w="0" w:type="auto"/>
            <w:shd w:val="clear" w:color="auto" w:fill="1B4873" w:themeFill="accent2"/>
            <w:vAlign w:val="center"/>
          </w:tcPr>
          <w:p w14:paraId="4DC29410" w14:textId="77777777" w:rsidR="00725DF0" w:rsidRPr="00725DF0" w:rsidRDefault="00725DF0" w:rsidP="00DF19B9">
            <w:pPr>
              <w:rPr>
                <w:rFonts w:asciiTheme="majorHAnsi" w:hAnsiTheme="majorHAnsi"/>
                <w:b/>
                <w:sz w:val="18"/>
                <w:szCs w:val="18"/>
              </w:rPr>
            </w:pPr>
            <w:r w:rsidRPr="00725DF0">
              <w:rPr>
                <w:rFonts w:asciiTheme="majorHAnsi" w:hAnsiTheme="majorHAnsi"/>
                <w:b/>
                <w:color w:val="FFFFFF" w:themeColor="background1"/>
                <w:sz w:val="18"/>
                <w:szCs w:val="18"/>
              </w:rPr>
              <w:t>6. Create</w:t>
            </w:r>
          </w:p>
        </w:tc>
      </w:tr>
      <w:tr w:rsidR="00725DF0" w:rsidRPr="00725DF0" w14:paraId="63FC59DF" w14:textId="77777777" w:rsidTr="00725DF0">
        <w:trPr>
          <w:trHeight w:val="20"/>
        </w:trPr>
        <w:tc>
          <w:tcPr>
            <w:tcW w:w="0" w:type="auto"/>
            <w:vAlign w:val="center"/>
          </w:tcPr>
          <w:p w14:paraId="533C590A" w14:textId="0DEB5464" w:rsidR="00725DF0" w:rsidRPr="00725DF0" w:rsidRDefault="00725DF0" w:rsidP="00DF19B9">
            <w:pPr>
              <w:rPr>
                <w:rFonts w:asciiTheme="majorHAnsi" w:hAnsiTheme="majorHAnsi"/>
                <w:sz w:val="18"/>
                <w:szCs w:val="18"/>
              </w:rPr>
            </w:pPr>
            <w:r w:rsidRPr="00725DF0">
              <w:rPr>
                <w:rFonts w:asciiTheme="majorHAnsi" w:eastAsia="Corbel" w:hAnsiTheme="majorHAnsi"/>
                <w:b/>
                <w:bCs/>
                <w:color w:val="1B4873" w:themeColor="accent2"/>
                <w:sz w:val="18"/>
                <w:szCs w:val="18"/>
              </w:rPr>
              <w:t>Remember Information</w:t>
            </w:r>
          </w:p>
        </w:tc>
        <w:tc>
          <w:tcPr>
            <w:tcW w:w="0" w:type="auto"/>
            <w:vAlign w:val="center"/>
          </w:tcPr>
          <w:p w14:paraId="4D30B032" w14:textId="77777777" w:rsidR="00725DF0" w:rsidRPr="00725DF0" w:rsidRDefault="00725DF0" w:rsidP="00DF19B9">
            <w:pPr>
              <w:rPr>
                <w:rFonts w:asciiTheme="majorHAnsi" w:hAnsiTheme="majorHAnsi"/>
                <w:sz w:val="18"/>
                <w:szCs w:val="18"/>
              </w:rPr>
            </w:pPr>
            <w:r w:rsidRPr="00725DF0">
              <w:rPr>
                <w:rFonts w:asciiTheme="majorHAnsi" w:eastAsia="Corbel" w:hAnsiTheme="majorHAnsi"/>
                <w:b/>
                <w:bCs/>
                <w:color w:val="1B4873" w:themeColor="accent2"/>
                <w:sz w:val="18"/>
                <w:szCs w:val="18"/>
              </w:rPr>
              <w:t>Explain Ideas or Concepts</w:t>
            </w:r>
          </w:p>
        </w:tc>
        <w:tc>
          <w:tcPr>
            <w:tcW w:w="0" w:type="auto"/>
            <w:vAlign w:val="center"/>
          </w:tcPr>
          <w:p w14:paraId="5FE446A7" w14:textId="77777777" w:rsidR="00725DF0" w:rsidRPr="00725DF0" w:rsidRDefault="00725DF0" w:rsidP="00DF19B9">
            <w:pPr>
              <w:rPr>
                <w:rFonts w:asciiTheme="majorHAnsi" w:hAnsiTheme="majorHAnsi"/>
                <w:sz w:val="18"/>
                <w:szCs w:val="18"/>
              </w:rPr>
            </w:pPr>
            <w:r w:rsidRPr="00725DF0">
              <w:rPr>
                <w:rFonts w:asciiTheme="majorHAnsi" w:eastAsia="Corbel" w:hAnsiTheme="majorHAnsi"/>
                <w:b/>
                <w:bCs/>
                <w:color w:val="1B4873" w:themeColor="accent2"/>
                <w:sz w:val="18"/>
                <w:szCs w:val="18"/>
              </w:rPr>
              <w:t>Use Information in a New Way</w:t>
            </w:r>
          </w:p>
        </w:tc>
        <w:tc>
          <w:tcPr>
            <w:tcW w:w="0" w:type="auto"/>
            <w:vAlign w:val="center"/>
          </w:tcPr>
          <w:p w14:paraId="5377625D" w14:textId="77777777" w:rsidR="00725DF0" w:rsidRPr="00725DF0" w:rsidRDefault="00725DF0" w:rsidP="00DF19B9">
            <w:pPr>
              <w:rPr>
                <w:rFonts w:asciiTheme="majorHAnsi" w:hAnsiTheme="majorHAnsi"/>
                <w:sz w:val="18"/>
                <w:szCs w:val="18"/>
              </w:rPr>
            </w:pPr>
            <w:r w:rsidRPr="00725DF0">
              <w:rPr>
                <w:rFonts w:asciiTheme="majorHAnsi" w:eastAsia="Corbel" w:hAnsiTheme="majorHAnsi"/>
                <w:b/>
                <w:bCs/>
                <w:color w:val="1B4873" w:themeColor="accent2"/>
                <w:sz w:val="18"/>
                <w:szCs w:val="18"/>
              </w:rPr>
              <w:t>Distinguish Between Parts</w:t>
            </w:r>
          </w:p>
        </w:tc>
        <w:tc>
          <w:tcPr>
            <w:tcW w:w="0" w:type="auto"/>
            <w:vAlign w:val="center"/>
          </w:tcPr>
          <w:p w14:paraId="260560A1" w14:textId="77777777" w:rsidR="00725DF0" w:rsidRPr="00725DF0" w:rsidRDefault="00725DF0" w:rsidP="00DF19B9">
            <w:pPr>
              <w:rPr>
                <w:rFonts w:asciiTheme="majorHAnsi" w:hAnsiTheme="majorHAnsi"/>
                <w:sz w:val="18"/>
                <w:szCs w:val="18"/>
              </w:rPr>
            </w:pPr>
            <w:r w:rsidRPr="00725DF0">
              <w:rPr>
                <w:rFonts w:asciiTheme="majorHAnsi" w:eastAsia="Corbel" w:hAnsiTheme="majorHAnsi"/>
                <w:b/>
                <w:bCs/>
                <w:color w:val="1B4873" w:themeColor="accent2"/>
                <w:sz w:val="18"/>
                <w:szCs w:val="18"/>
              </w:rPr>
              <w:t>Justify a Position or Decision</w:t>
            </w:r>
          </w:p>
        </w:tc>
        <w:tc>
          <w:tcPr>
            <w:tcW w:w="0" w:type="auto"/>
            <w:vAlign w:val="center"/>
          </w:tcPr>
          <w:p w14:paraId="3758C7F9" w14:textId="77777777" w:rsidR="00725DF0" w:rsidRPr="00725DF0" w:rsidRDefault="00725DF0" w:rsidP="00DF19B9">
            <w:pPr>
              <w:rPr>
                <w:rFonts w:asciiTheme="majorHAnsi" w:hAnsiTheme="majorHAnsi"/>
                <w:sz w:val="18"/>
                <w:szCs w:val="18"/>
              </w:rPr>
            </w:pPr>
            <w:r w:rsidRPr="00725DF0">
              <w:rPr>
                <w:rFonts w:asciiTheme="majorHAnsi" w:eastAsia="Corbel" w:hAnsiTheme="majorHAnsi"/>
                <w:b/>
                <w:bCs/>
                <w:color w:val="1B4873" w:themeColor="accent2"/>
                <w:sz w:val="18"/>
                <w:szCs w:val="18"/>
              </w:rPr>
              <w:t>Create a New Product or Point of View</w:t>
            </w:r>
          </w:p>
        </w:tc>
      </w:tr>
      <w:tr w:rsidR="00725DF0" w:rsidRPr="00725DF0" w14:paraId="5686072D" w14:textId="77777777" w:rsidTr="00725DF0">
        <w:trPr>
          <w:trHeight w:val="20"/>
        </w:trPr>
        <w:tc>
          <w:tcPr>
            <w:tcW w:w="0" w:type="auto"/>
            <w:vAlign w:val="center"/>
          </w:tcPr>
          <w:p w14:paraId="6310A59D" w14:textId="3CDE2232"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Choose</w:t>
            </w:r>
          </w:p>
          <w:p w14:paraId="10AE5D91" w14:textId="7A8E2D03"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Define</w:t>
            </w:r>
          </w:p>
          <w:p w14:paraId="0C483BE0" w14:textId="616EF7DF"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Fin</w:t>
            </w:r>
            <w:r w:rsidR="002268F1" w:rsidRPr="002268F1">
              <w:rPr>
                <w:rFonts w:asciiTheme="minorHAnsi" w:eastAsiaTheme="minorHAnsi" w:hAnsiTheme="minorHAnsi" w:cstheme="minorBidi"/>
                <w:noProof/>
                <w:sz w:val="20"/>
                <w:szCs w:val="22"/>
              </w:rPr>
              <w:t xml:space="preserve"> </w:t>
            </w:r>
            <w:r w:rsidRPr="00725DF0">
              <w:rPr>
                <w:rFonts w:asciiTheme="majorHAnsi" w:eastAsia="Corbel" w:hAnsiTheme="majorHAnsi"/>
                <w:color w:val="404040" w:themeColor="text1"/>
                <w:kern w:val="24"/>
                <w:sz w:val="18"/>
                <w:szCs w:val="18"/>
              </w:rPr>
              <w:t>d</w:t>
            </w:r>
          </w:p>
          <w:p w14:paraId="4A2DBCB1"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Identify</w:t>
            </w:r>
          </w:p>
          <w:p w14:paraId="57ACB49B"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Label</w:t>
            </w:r>
          </w:p>
          <w:p w14:paraId="1799842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List</w:t>
            </w:r>
          </w:p>
          <w:p w14:paraId="776F06C8"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Match</w:t>
            </w:r>
          </w:p>
          <w:p w14:paraId="79641F36"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Name</w:t>
            </w:r>
          </w:p>
          <w:p w14:paraId="110E64DD"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Recognize</w:t>
            </w:r>
          </w:p>
          <w:p w14:paraId="70402AB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Recall</w:t>
            </w:r>
          </w:p>
          <w:p w14:paraId="68B332F9"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Select</w:t>
            </w:r>
          </w:p>
          <w:p w14:paraId="3DB776C3" w14:textId="77777777" w:rsidR="00725DF0" w:rsidRPr="00725DF0" w:rsidRDefault="00725DF0" w:rsidP="00DF19B9">
            <w:pPr>
              <w:rPr>
                <w:rFonts w:asciiTheme="majorHAnsi" w:hAnsiTheme="majorHAnsi"/>
                <w:sz w:val="18"/>
                <w:szCs w:val="18"/>
              </w:rPr>
            </w:pPr>
            <w:r w:rsidRPr="00725DF0">
              <w:rPr>
                <w:rFonts w:asciiTheme="majorHAnsi" w:eastAsia="Corbel" w:hAnsiTheme="majorHAnsi"/>
                <w:color w:val="404040" w:themeColor="text1"/>
                <w:kern w:val="24"/>
                <w:sz w:val="18"/>
                <w:szCs w:val="18"/>
              </w:rPr>
              <w:t>Tabulate</w:t>
            </w:r>
          </w:p>
        </w:tc>
        <w:tc>
          <w:tcPr>
            <w:tcW w:w="0" w:type="auto"/>
            <w:vAlign w:val="center"/>
          </w:tcPr>
          <w:p w14:paraId="4253FDCB"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Classify</w:t>
            </w:r>
          </w:p>
          <w:p w14:paraId="2B3C1E41"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Compare</w:t>
            </w:r>
          </w:p>
          <w:p w14:paraId="3C615E5C"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Describe</w:t>
            </w:r>
          </w:p>
          <w:p w14:paraId="7E6DB27B"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Estimate</w:t>
            </w:r>
          </w:p>
          <w:p w14:paraId="51650853"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Explain</w:t>
            </w:r>
          </w:p>
          <w:p w14:paraId="2BFD4ADE"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Illustrate</w:t>
            </w:r>
          </w:p>
          <w:p w14:paraId="2F2E0403"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Infer</w:t>
            </w:r>
          </w:p>
          <w:p w14:paraId="135CA702"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Interpret</w:t>
            </w:r>
          </w:p>
          <w:p w14:paraId="647FA8E1"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Measure</w:t>
            </w:r>
          </w:p>
          <w:p w14:paraId="107E9F93"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Outline</w:t>
            </w:r>
          </w:p>
          <w:p w14:paraId="64BC8A17"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Report</w:t>
            </w:r>
          </w:p>
          <w:p w14:paraId="300A7D55" w14:textId="77777777" w:rsidR="00725DF0" w:rsidRPr="00725DF0" w:rsidRDefault="00725DF0" w:rsidP="00DF19B9">
            <w:pPr>
              <w:rPr>
                <w:rFonts w:asciiTheme="majorHAnsi" w:eastAsia="Corbel" w:hAnsiTheme="majorHAnsi"/>
                <w:sz w:val="18"/>
                <w:szCs w:val="18"/>
              </w:rPr>
            </w:pPr>
            <w:r w:rsidRPr="00725DF0">
              <w:rPr>
                <w:rFonts w:asciiTheme="majorHAnsi" w:eastAsia="Corbel" w:hAnsiTheme="majorHAnsi"/>
                <w:color w:val="404040" w:themeColor="text1"/>
                <w:kern w:val="24"/>
                <w:sz w:val="18"/>
                <w:szCs w:val="18"/>
              </w:rPr>
              <w:t>Summarize</w:t>
            </w:r>
          </w:p>
        </w:tc>
        <w:tc>
          <w:tcPr>
            <w:tcW w:w="0" w:type="auto"/>
            <w:vAlign w:val="center"/>
          </w:tcPr>
          <w:p w14:paraId="1D76EBB7"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Apply</w:t>
            </w:r>
          </w:p>
          <w:p w14:paraId="763D8A0B"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Build</w:t>
            </w:r>
          </w:p>
          <w:p w14:paraId="31E5BB89"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Calculate</w:t>
            </w:r>
          </w:p>
          <w:p w14:paraId="5558543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Construct</w:t>
            </w:r>
          </w:p>
          <w:p w14:paraId="38A33C23"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Demonstrate</w:t>
            </w:r>
          </w:p>
          <w:p w14:paraId="6946DE1C"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Develop</w:t>
            </w:r>
          </w:p>
          <w:p w14:paraId="5EC3B861"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Graph</w:t>
            </w:r>
          </w:p>
          <w:p w14:paraId="158543C6"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Model</w:t>
            </w:r>
          </w:p>
          <w:p w14:paraId="3485B0F0"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Organize</w:t>
            </w:r>
          </w:p>
          <w:p w14:paraId="07E1AEE6"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Practice</w:t>
            </w:r>
          </w:p>
          <w:p w14:paraId="77FF5A82"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Solve</w:t>
            </w:r>
          </w:p>
          <w:p w14:paraId="1A402CD5" w14:textId="77777777" w:rsidR="00725DF0" w:rsidRPr="00725DF0" w:rsidRDefault="00725DF0" w:rsidP="00DF19B9">
            <w:pPr>
              <w:rPr>
                <w:rFonts w:asciiTheme="majorHAnsi" w:hAnsiTheme="majorHAnsi"/>
                <w:sz w:val="18"/>
                <w:szCs w:val="18"/>
              </w:rPr>
            </w:pPr>
            <w:r w:rsidRPr="00725DF0">
              <w:rPr>
                <w:rFonts w:asciiTheme="majorHAnsi" w:eastAsia="Corbel" w:hAnsiTheme="majorHAnsi"/>
                <w:color w:val="404040" w:themeColor="text1"/>
                <w:kern w:val="24"/>
                <w:sz w:val="18"/>
                <w:szCs w:val="18"/>
              </w:rPr>
              <w:t>Use</w:t>
            </w:r>
          </w:p>
        </w:tc>
        <w:tc>
          <w:tcPr>
            <w:tcW w:w="0" w:type="auto"/>
            <w:vAlign w:val="center"/>
          </w:tcPr>
          <w:p w14:paraId="2B04A7BE"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Analyze</w:t>
            </w:r>
          </w:p>
          <w:p w14:paraId="6CA3FEFC"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Attribute</w:t>
            </w:r>
          </w:p>
          <w:p w14:paraId="6A79F70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Break down</w:t>
            </w:r>
          </w:p>
          <w:p w14:paraId="64063CD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Categorize</w:t>
            </w:r>
          </w:p>
          <w:p w14:paraId="5E586BD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Determine the relationship</w:t>
            </w:r>
          </w:p>
          <w:p w14:paraId="012D838E"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Differentiate</w:t>
            </w:r>
          </w:p>
          <w:p w14:paraId="4A1C8267"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Examine</w:t>
            </w:r>
          </w:p>
          <w:p w14:paraId="42C37C8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Group</w:t>
            </w:r>
          </w:p>
          <w:p w14:paraId="608CA3C0"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Organize Separate</w:t>
            </w:r>
          </w:p>
          <w:p w14:paraId="0E72E7C0" w14:textId="77777777" w:rsidR="00725DF0" w:rsidRPr="00725DF0" w:rsidRDefault="00725DF0" w:rsidP="00DF19B9">
            <w:pPr>
              <w:rPr>
                <w:rFonts w:asciiTheme="majorHAnsi" w:hAnsiTheme="majorHAnsi"/>
                <w:sz w:val="18"/>
                <w:szCs w:val="18"/>
              </w:rPr>
            </w:pPr>
            <w:r w:rsidRPr="00725DF0">
              <w:rPr>
                <w:rFonts w:asciiTheme="majorHAnsi" w:eastAsia="Corbel" w:hAnsiTheme="majorHAnsi"/>
                <w:color w:val="404040" w:themeColor="text1"/>
                <w:kern w:val="24"/>
                <w:sz w:val="18"/>
                <w:szCs w:val="18"/>
              </w:rPr>
              <w:t>Simplify</w:t>
            </w:r>
          </w:p>
        </w:tc>
        <w:tc>
          <w:tcPr>
            <w:tcW w:w="0" w:type="auto"/>
            <w:vAlign w:val="center"/>
          </w:tcPr>
          <w:p w14:paraId="693172E9"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Argue</w:t>
            </w:r>
          </w:p>
          <w:p w14:paraId="29123D65"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Assess</w:t>
            </w:r>
          </w:p>
          <w:p w14:paraId="3BCA22FC"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Conclude</w:t>
            </w:r>
          </w:p>
          <w:p w14:paraId="54ACE879"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Create</w:t>
            </w:r>
          </w:p>
          <w:p w14:paraId="085F5C60"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Criticize</w:t>
            </w:r>
          </w:p>
          <w:p w14:paraId="4D67905D"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Decide</w:t>
            </w:r>
          </w:p>
          <w:p w14:paraId="191A1030"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Deduct</w:t>
            </w:r>
          </w:p>
          <w:p w14:paraId="17EBB118"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Defend</w:t>
            </w:r>
          </w:p>
          <w:p w14:paraId="47F5AD46"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Judge</w:t>
            </w:r>
          </w:p>
          <w:p w14:paraId="3705422D"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Predict</w:t>
            </w:r>
          </w:p>
          <w:p w14:paraId="5FC899D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Prioritize</w:t>
            </w:r>
          </w:p>
          <w:p w14:paraId="2DC23FEB" w14:textId="77777777" w:rsidR="00725DF0" w:rsidRPr="00725DF0" w:rsidRDefault="00725DF0" w:rsidP="00DF19B9">
            <w:pPr>
              <w:rPr>
                <w:rFonts w:asciiTheme="majorHAnsi" w:eastAsia="Corbel" w:hAnsiTheme="majorHAnsi"/>
                <w:sz w:val="18"/>
                <w:szCs w:val="18"/>
              </w:rPr>
            </w:pPr>
            <w:r w:rsidRPr="00725DF0">
              <w:rPr>
                <w:rFonts w:asciiTheme="majorHAnsi" w:eastAsia="Corbel" w:hAnsiTheme="majorHAnsi"/>
                <w:color w:val="404040" w:themeColor="text1"/>
                <w:kern w:val="24"/>
                <w:sz w:val="18"/>
                <w:szCs w:val="18"/>
              </w:rPr>
              <w:t>Support</w:t>
            </w:r>
          </w:p>
        </w:tc>
        <w:tc>
          <w:tcPr>
            <w:tcW w:w="0" w:type="auto"/>
            <w:vAlign w:val="center"/>
          </w:tcPr>
          <w:p w14:paraId="101AF56A"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Adapt</w:t>
            </w:r>
          </w:p>
          <w:p w14:paraId="75458B38"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Build</w:t>
            </w:r>
          </w:p>
          <w:p w14:paraId="07FAC787"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Combine</w:t>
            </w:r>
          </w:p>
          <w:p w14:paraId="3AC533FA"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Design</w:t>
            </w:r>
          </w:p>
          <w:p w14:paraId="3A67BE8F"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Develop</w:t>
            </w:r>
          </w:p>
          <w:p w14:paraId="39064B64"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Generate</w:t>
            </w:r>
          </w:p>
          <w:p w14:paraId="41871431"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Integrate</w:t>
            </w:r>
          </w:p>
          <w:p w14:paraId="761E85F9"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Modify</w:t>
            </w:r>
          </w:p>
          <w:p w14:paraId="0C068A0F"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Plan</w:t>
            </w:r>
          </w:p>
          <w:p w14:paraId="71EB2ACD"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Produce</w:t>
            </w:r>
          </w:p>
          <w:p w14:paraId="65D5F401" w14:textId="77777777" w:rsidR="00725DF0" w:rsidRPr="00725DF0" w:rsidRDefault="00725DF0" w:rsidP="00DF19B9">
            <w:pPr>
              <w:pStyle w:val="NormalWeb"/>
              <w:spacing w:before="0" w:beforeAutospacing="0" w:after="0" w:afterAutospacing="0"/>
              <w:rPr>
                <w:rFonts w:asciiTheme="majorHAnsi" w:hAnsiTheme="majorHAnsi" w:cs="Arial"/>
                <w:sz w:val="18"/>
                <w:szCs w:val="18"/>
              </w:rPr>
            </w:pPr>
            <w:r w:rsidRPr="00725DF0">
              <w:rPr>
                <w:rFonts w:asciiTheme="majorHAnsi" w:eastAsia="Corbel" w:hAnsiTheme="majorHAnsi"/>
                <w:color w:val="404040" w:themeColor="text1"/>
                <w:kern w:val="24"/>
                <w:sz w:val="18"/>
                <w:szCs w:val="18"/>
              </w:rPr>
              <w:t>Theorize</w:t>
            </w:r>
          </w:p>
          <w:p w14:paraId="5BFEBC2E" w14:textId="77777777" w:rsidR="00725DF0" w:rsidRPr="00725DF0" w:rsidRDefault="00725DF0" w:rsidP="00DF19B9">
            <w:pPr>
              <w:rPr>
                <w:rFonts w:asciiTheme="majorHAnsi" w:hAnsiTheme="majorHAnsi"/>
                <w:sz w:val="18"/>
                <w:szCs w:val="18"/>
              </w:rPr>
            </w:pPr>
            <w:r w:rsidRPr="00725DF0">
              <w:rPr>
                <w:rFonts w:asciiTheme="majorHAnsi" w:eastAsia="Corbel" w:hAnsiTheme="majorHAnsi"/>
                <w:color w:val="404040" w:themeColor="text1"/>
                <w:kern w:val="24"/>
                <w:sz w:val="18"/>
                <w:szCs w:val="18"/>
              </w:rPr>
              <w:t>Validate</w:t>
            </w:r>
          </w:p>
        </w:tc>
      </w:tr>
    </w:tbl>
    <w:p w14:paraId="3DEA01FB" w14:textId="77777777" w:rsidR="004708CD" w:rsidRDefault="004708CD" w:rsidP="004708CD">
      <w:pPr>
        <w:rPr>
          <w:iCs/>
        </w:rPr>
      </w:pPr>
    </w:p>
    <w:p w14:paraId="16BEA74A" w14:textId="29A17747" w:rsidR="004708CD" w:rsidRDefault="004708CD" w:rsidP="009C2E2F">
      <w:pPr>
        <w:pStyle w:val="Heading3"/>
      </w:pPr>
      <w:r>
        <w:t>How to Measure a Range of Student Thinking and Understanding</w:t>
      </w:r>
    </w:p>
    <w:p w14:paraId="1F73850A" w14:textId="668A6E20" w:rsidR="00000E21" w:rsidRDefault="00725DF0" w:rsidP="00725DF0">
      <w:pPr>
        <w:rPr>
          <w:caps/>
          <w:color w:val="588DC1" w:themeColor="accent4"/>
          <w:sz w:val="32"/>
        </w:rPr>
      </w:pPr>
      <w:r>
        <w:rPr>
          <w:iCs/>
        </w:rPr>
        <w:t>A</w:t>
      </w:r>
      <w:r w:rsidR="00EB02F3" w:rsidRPr="00EB02F3">
        <w:rPr>
          <w:iCs/>
        </w:rPr>
        <w:t>n assessment with an appropriate level of rigor measures a range of student thinking and understanding so that it measures what all students know and can do. If assessments are too easy, some students may not have the opportunity to demonstrate the upper bounds of what they know and can do. Assessments should include items that challenge all students. You may refer to these questions as “stretch” questions because they require students to push themselves to the upper bounds of what they know and can do. On the other hand, if assessments are too complex, some students may not be able to showcase their knowledge and skills at all. Assessments should include items that require lower-level thinking to reveal where learning breaks down among students struggling to master a standard.</w:t>
      </w:r>
      <w:r>
        <w:rPr>
          <w:iCs/>
        </w:rPr>
        <w:t xml:space="preserve"> </w:t>
      </w:r>
      <w:r w:rsidR="00EB02F3" w:rsidRPr="00EB02F3">
        <w:t>You can organize items sequentially in order of difficulty so that students can feel successful early in the assessment and more challenged as they progress. You might include the most difficult questions in a separate bonus section to motivate more advanced students and not discourage others.</w:t>
      </w:r>
      <w:r w:rsidR="00000E21">
        <w:br w:type="page"/>
      </w:r>
    </w:p>
    <w:p w14:paraId="3B0A4EE1" w14:textId="1C5C7DBD" w:rsidR="00044B75" w:rsidRDefault="0093191C" w:rsidP="009C2E2F">
      <w:pPr>
        <w:pStyle w:val="Heading2"/>
      </w:pPr>
      <w:r>
        <w:lastRenderedPageBreak/>
        <w:t>CHECK FOR UNDERSTANDING</w:t>
      </w:r>
    </w:p>
    <w:p w14:paraId="286F8787" w14:textId="61C08051" w:rsidR="00044B75" w:rsidRPr="00044B75" w:rsidRDefault="00044B75" w:rsidP="009C2E2F">
      <w:pPr>
        <w:pStyle w:val="Heading3"/>
      </w:pPr>
      <w:r>
        <w:t>Assessment Items</w:t>
      </w:r>
    </w:p>
    <w:p w14:paraId="17472D2D" w14:textId="23A2D7AF" w:rsidR="009C2E2F" w:rsidRDefault="00E37DF5" w:rsidP="009C2E2F">
      <w:pPr>
        <w:pStyle w:val="ListParagraph"/>
        <w:numPr>
          <w:ilvl w:val="0"/>
          <w:numId w:val="44"/>
        </w:numPr>
        <w:rPr>
          <w:szCs w:val="20"/>
        </w:rPr>
      </w:pPr>
      <w:r w:rsidRPr="009C2E2F">
        <w:rPr>
          <w:szCs w:val="20"/>
        </w:rPr>
        <w:t>Using Bloom’s Taxonomy, identify the level or levels of rigor in this standard from Iowa. Remember to pay close attention to the verbs.</w:t>
      </w:r>
    </w:p>
    <w:p w14:paraId="061CFFA2" w14:textId="209CDF81" w:rsidR="009C2E2F" w:rsidRPr="009C2E2F" w:rsidRDefault="00484C16" w:rsidP="00261466">
      <w:pPr>
        <w:pStyle w:val="ListParagraph"/>
        <w:spacing w:before="60"/>
        <w:ind w:left="360"/>
        <w:contextualSpacing w:val="0"/>
        <w:rPr>
          <w:i/>
          <w:szCs w:val="20"/>
        </w:rPr>
      </w:pPr>
      <w:r w:rsidRPr="009C2E2F">
        <w:rPr>
          <w:i/>
          <w:szCs w:val="20"/>
        </w:rPr>
        <w:t>Understand the use of geographic tools to locate and analyze information about people, places, and environments.</w:t>
      </w:r>
      <w:r w:rsidR="009C2E2F" w:rsidRPr="009C2E2F">
        <w:rPr>
          <w:rStyle w:val="EndnoteReference"/>
          <w:i/>
          <w:szCs w:val="20"/>
        </w:rPr>
        <w:endnoteReference w:id="3"/>
      </w:r>
    </w:p>
    <w:p w14:paraId="3584DB14" w14:textId="38325593" w:rsidR="00044B75" w:rsidRPr="009C2E2F" w:rsidRDefault="00044B75" w:rsidP="00484C16">
      <w:pPr>
        <w:ind w:left="360"/>
        <w:rPr>
          <w:szCs w:val="20"/>
        </w:rPr>
      </w:pPr>
    </w:p>
    <w:p w14:paraId="073BBF65" w14:textId="77777777" w:rsidR="00484C16" w:rsidRPr="009C2E2F" w:rsidRDefault="00484C16" w:rsidP="00484C16">
      <w:pPr>
        <w:ind w:left="360"/>
        <w:rPr>
          <w:szCs w:val="20"/>
        </w:rPr>
      </w:pPr>
    </w:p>
    <w:p w14:paraId="1A2A2F0E" w14:textId="77777777" w:rsidR="00484C16" w:rsidRPr="009C2E2F" w:rsidRDefault="00484C16" w:rsidP="00484C16">
      <w:pPr>
        <w:ind w:left="360"/>
        <w:rPr>
          <w:szCs w:val="20"/>
        </w:rPr>
      </w:pPr>
    </w:p>
    <w:p w14:paraId="5F5BE9C0" w14:textId="77777777" w:rsidR="00484C16" w:rsidRDefault="00484C16" w:rsidP="00484C16">
      <w:pPr>
        <w:ind w:left="360"/>
        <w:rPr>
          <w:szCs w:val="20"/>
        </w:rPr>
      </w:pPr>
    </w:p>
    <w:p w14:paraId="71A3242A" w14:textId="77777777" w:rsidR="00261466" w:rsidRDefault="00261466" w:rsidP="00484C16">
      <w:pPr>
        <w:ind w:left="360"/>
        <w:rPr>
          <w:szCs w:val="20"/>
        </w:rPr>
      </w:pPr>
    </w:p>
    <w:p w14:paraId="1AAF5B14" w14:textId="77777777" w:rsidR="00261466" w:rsidRDefault="00261466" w:rsidP="00484C16">
      <w:pPr>
        <w:ind w:left="360"/>
        <w:rPr>
          <w:szCs w:val="20"/>
        </w:rPr>
      </w:pPr>
    </w:p>
    <w:p w14:paraId="5445DB37" w14:textId="77777777" w:rsidR="00261466" w:rsidRPr="009C2E2F" w:rsidRDefault="00261466" w:rsidP="00484C16">
      <w:pPr>
        <w:ind w:left="360"/>
        <w:rPr>
          <w:szCs w:val="20"/>
        </w:rPr>
      </w:pPr>
    </w:p>
    <w:p w14:paraId="64235765" w14:textId="77777777" w:rsidR="00484C16" w:rsidRPr="009C2E2F" w:rsidRDefault="00484C16" w:rsidP="00484C16">
      <w:pPr>
        <w:ind w:left="360"/>
        <w:rPr>
          <w:szCs w:val="20"/>
        </w:rPr>
      </w:pPr>
    </w:p>
    <w:p w14:paraId="3ADCA611" w14:textId="77777777" w:rsidR="00484C16" w:rsidRPr="009C2E2F" w:rsidRDefault="00484C16" w:rsidP="00484C16">
      <w:pPr>
        <w:ind w:left="360"/>
        <w:rPr>
          <w:szCs w:val="20"/>
        </w:rPr>
      </w:pPr>
    </w:p>
    <w:p w14:paraId="161FA5C2" w14:textId="2362F3F8" w:rsidR="00044B75" w:rsidRPr="009C2E2F" w:rsidRDefault="00484C16" w:rsidP="00484C16">
      <w:pPr>
        <w:pStyle w:val="ListParagraph"/>
        <w:numPr>
          <w:ilvl w:val="0"/>
          <w:numId w:val="44"/>
        </w:numPr>
        <w:rPr>
          <w:szCs w:val="20"/>
        </w:rPr>
      </w:pPr>
      <w:r w:rsidRPr="009C2E2F">
        <w:rPr>
          <w:szCs w:val="20"/>
        </w:rPr>
        <w:t>Explain in your own words why well-designed assessments should measure a range of student thinking and understanding.</w:t>
      </w: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6192" behindDoc="0" locked="0" layoutInCell="1" allowOverlap="1" wp14:anchorId="5EBFEC59" wp14:editId="76DB3D1B">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A54F1" id="Straight Connector 18" o:spid="_x0000_s1026" style="position:absolute;z-index:251656192;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9C2E2F">
      <w:pPr>
        <w:pStyle w:val="Heading3"/>
      </w:pPr>
    </w:p>
    <w:p w14:paraId="2CE6DC4C" w14:textId="546630B9" w:rsidR="009B2215" w:rsidRDefault="009B2215" w:rsidP="009C2E2F">
      <w:pPr>
        <w:pStyle w:val="Heading3"/>
      </w:pPr>
    </w:p>
    <w:p w14:paraId="7802F562" w14:textId="77777777" w:rsidR="009C2E2F" w:rsidRDefault="009C2E2F" w:rsidP="009C2E2F">
      <w:pPr>
        <w:pStyle w:val="Heading3"/>
      </w:pPr>
    </w:p>
    <w:p w14:paraId="248C9BC0" w14:textId="77777777" w:rsidR="009C2E2F" w:rsidRDefault="009C2E2F" w:rsidP="009C2E2F">
      <w:pPr>
        <w:pStyle w:val="Heading3"/>
      </w:pPr>
    </w:p>
    <w:p w14:paraId="16F7BBBA" w14:textId="77777777" w:rsidR="00261466" w:rsidRDefault="00261466" w:rsidP="009C2E2F">
      <w:pPr>
        <w:pStyle w:val="Heading3"/>
      </w:pPr>
    </w:p>
    <w:p w14:paraId="480A7698" w14:textId="672E586B" w:rsidR="00044B75" w:rsidRDefault="00044B75" w:rsidP="009C2E2F">
      <w:pPr>
        <w:pStyle w:val="Heading3"/>
      </w:pPr>
      <w:r>
        <w:t>Answers</w:t>
      </w:r>
    </w:p>
    <w:p w14:paraId="54747DDC" w14:textId="54DC982B" w:rsidR="00044B75" w:rsidRPr="00261466" w:rsidRDefault="00726388" w:rsidP="009C2E2F">
      <w:pPr>
        <w:pStyle w:val="ListParagraph"/>
        <w:numPr>
          <w:ilvl w:val="0"/>
          <w:numId w:val="45"/>
        </w:numPr>
        <w:rPr>
          <w:szCs w:val="20"/>
        </w:rPr>
      </w:pPr>
      <w:r w:rsidRPr="00261466">
        <w:rPr>
          <w:szCs w:val="20"/>
        </w:rPr>
        <w:t>Using Bloom’s Taxonomy, identify the level or levels of rigor in this standard from Iowa. Remember to pay close attention to the verbs.</w:t>
      </w:r>
    </w:p>
    <w:p w14:paraId="2ABB86A3" w14:textId="3D372EA1" w:rsidR="009C2E2F" w:rsidRPr="00261466" w:rsidRDefault="00726388" w:rsidP="00261466">
      <w:pPr>
        <w:spacing w:before="60"/>
        <w:ind w:left="360"/>
        <w:rPr>
          <w:i/>
          <w:szCs w:val="20"/>
        </w:rPr>
      </w:pPr>
      <w:r w:rsidRPr="00261466">
        <w:rPr>
          <w:i/>
          <w:szCs w:val="20"/>
        </w:rPr>
        <w:t>Understand the use of geographic tools to locate and analyze information about people, places, and environments.</w:t>
      </w:r>
      <w:r w:rsidR="009C2E2F" w:rsidRPr="00261466">
        <w:rPr>
          <w:rStyle w:val="EndnoteReference"/>
          <w:i/>
          <w:szCs w:val="20"/>
        </w:rPr>
        <w:endnoteReference w:id="4"/>
      </w:r>
    </w:p>
    <w:p w14:paraId="07F38074" w14:textId="14B55AC4" w:rsidR="00963878" w:rsidRPr="00261466" w:rsidRDefault="00963878" w:rsidP="009C2E2F">
      <w:pPr>
        <w:spacing w:before="60"/>
        <w:ind w:left="360"/>
        <w:rPr>
          <w:i/>
          <w:color w:val="588DC1" w:themeColor="accent4"/>
          <w:szCs w:val="20"/>
        </w:rPr>
      </w:pPr>
      <w:r w:rsidRPr="00261466">
        <w:rPr>
          <w:i/>
          <w:color w:val="588DC1" w:themeColor="accent4"/>
          <w:szCs w:val="20"/>
        </w:rPr>
        <w:t xml:space="preserve">The key verbs in the skills in this standard are “use” and “analyze,” which are associated with lower- and higher-order skills. “Understand” is a level 1 skill, and “analyze” is a level 4 skill. </w:t>
      </w:r>
    </w:p>
    <w:p w14:paraId="7B36D319" w14:textId="6674D20B" w:rsidR="008E7719" w:rsidRPr="00044B75" w:rsidRDefault="008E7719" w:rsidP="00044B75"/>
    <w:p w14:paraId="2BFB86CB" w14:textId="76766FA2" w:rsidR="00044B75" w:rsidRDefault="00AB6683" w:rsidP="00AB6683">
      <w:pPr>
        <w:pStyle w:val="ListParagraph"/>
        <w:numPr>
          <w:ilvl w:val="0"/>
          <w:numId w:val="45"/>
        </w:numPr>
      </w:pPr>
      <w:r w:rsidRPr="00AB6683">
        <w:t>Explain in your own words why well-designed assessments should measure a range of student thinking and understanding.</w:t>
      </w:r>
    </w:p>
    <w:p w14:paraId="2AF72A7A" w14:textId="1608D534" w:rsidR="00044B75" w:rsidRDefault="0034441B" w:rsidP="009C2E2F">
      <w:pPr>
        <w:spacing w:before="60"/>
        <w:ind w:left="360"/>
        <w:rPr>
          <w:i/>
          <w:color w:val="588DC1" w:themeColor="accent4"/>
        </w:rPr>
      </w:pPr>
      <w:r w:rsidRPr="009C2E2F">
        <w:rPr>
          <w:i/>
          <w:color w:val="588DC1" w:themeColor="accent4"/>
        </w:rPr>
        <w:t>Well-designed assessments include items with various levels of rigor to ensure that they measure what all students know and can do. If assessments are too easy, some students may not have the opportunity to demonstrate the upper bounds of what they know and can do. I should include items in my assessment that challenge all of my students. On the other hand, if assessments are too complex, some students may not be able to showcase their knowledge and skills at all. I can include items that require lower-level thinking to reveal where learning breaks down among students struggling to master a standard.</w:t>
      </w:r>
    </w:p>
    <w:p w14:paraId="5EFCBFFC" w14:textId="77777777" w:rsidR="00261466" w:rsidRDefault="00261466" w:rsidP="009C2E2F">
      <w:pPr>
        <w:spacing w:before="60"/>
        <w:ind w:left="360"/>
        <w:rPr>
          <w:i/>
          <w:color w:val="588DC1" w:themeColor="accent4"/>
        </w:rPr>
      </w:pPr>
    </w:p>
    <w:p w14:paraId="2DCEACD0" w14:textId="77777777" w:rsidR="00261466" w:rsidRDefault="00261466" w:rsidP="009C2E2F">
      <w:pPr>
        <w:spacing w:before="60"/>
        <w:ind w:left="360"/>
        <w:rPr>
          <w:i/>
          <w:color w:val="588DC1" w:themeColor="accent4"/>
        </w:rPr>
      </w:pPr>
    </w:p>
    <w:p w14:paraId="38E993E1" w14:textId="77777777" w:rsidR="00261466" w:rsidRDefault="00261466" w:rsidP="009C2E2F">
      <w:pPr>
        <w:spacing w:before="60"/>
        <w:ind w:left="360"/>
        <w:rPr>
          <w:i/>
          <w:color w:val="588DC1" w:themeColor="accent4"/>
        </w:rPr>
      </w:pPr>
    </w:p>
    <w:p w14:paraId="73DAF940" w14:textId="77777777" w:rsidR="00261466" w:rsidRDefault="00261466" w:rsidP="009C2E2F">
      <w:pPr>
        <w:spacing w:before="60"/>
        <w:ind w:left="360"/>
        <w:rPr>
          <w:i/>
          <w:color w:val="588DC1" w:themeColor="accent4"/>
        </w:rPr>
      </w:pPr>
    </w:p>
    <w:p w14:paraId="0738FBCE" w14:textId="77777777" w:rsidR="009C2E2F" w:rsidRPr="009C2E2F" w:rsidRDefault="009C2E2F" w:rsidP="009C2E2F">
      <w:pPr>
        <w:spacing w:before="60"/>
        <w:ind w:left="360"/>
        <w:rPr>
          <w:i/>
          <w:color w:val="588DC1" w:themeColor="accent4"/>
        </w:rPr>
      </w:pPr>
    </w:p>
    <w:sectPr w:rsidR="009C2E2F" w:rsidRPr="009C2E2F" w:rsidSect="005B4BFB">
      <w:headerReference w:type="default" r:id="rId8"/>
      <w:footerReference w:type="default" r:id="rId9"/>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231D2" w14:textId="77777777" w:rsidR="00C06169" w:rsidRPr="009C2E2F" w:rsidRDefault="00C06169" w:rsidP="00D5762E">
      <w:pPr>
        <w:rPr>
          <w:color w:val="808080" w:themeColor="background1" w:themeShade="80"/>
        </w:rPr>
      </w:pPr>
      <w:r w:rsidRPr="009C2E2F">
        <w:rPr>
          <w:color w:val="808080" w:themeColor="background1" w:themeShade="80"/>
        </w:rPr>
        <w:separator/>
      </w:r>
    </w:p>
  </w:endnote>
  <w:endnote w:type="continuationSeparator" w:id="0">
    <w:p w14:paraId="4490525B" w14:textId="77777777" w:rsidR="00C06169" w:rsidRDefault="00C06169" w:rsidP="00D5762E">
      <w:r>
        <w:continuationSeparator/>
      </w:r>
    </w:p>
  </w:endnote>
  <w:endnote w:id="1">
    <w:p w14:paraId="3AA39B09" w14:textId="03829485" w:rsidR="009C2E2F" w:rsidRPr="009C2E2F" w:rsidRDefault="009C2E2F" w:rsidP="00AB4DC6">
      <w:pPr>
        <w:pStyle w:val="EndnoteText"/>
        <w:rPr>
          <w:rFonts w:asciiTheme="majorHAnsi" w:hAnsiTheme="majorHAnsi"/>
          <w:sz w:val="18"/>
          <w:szCs w:val="18"/>
        </w:rPr>
      </w:pPr>
      <w:r w:rsidRPr="009C2E2F">
        <w:rPr>
          <w:rStyle w:val="EndnoteReference"/>
          <w:sz w:val="18"/>
          <w:szCs w:val="18"/>
        </w:rPr>
        <w:endnoteRef/>
      </w:r>
      <w:r w:rsidRPr="009C2E2F">
        <w:rPr>
          <w:rStyle w:val="EndnoteReference"/>
          <w:rFonts w:asciiTheme="majorHAnsi" w:hAnsiTheme="majorHAnsi"/>
          <w:sz w:val="18"/>
          <w:szCs w:val="18"/>
        </w:rPr>
        <w:endnoteRef/>
      </w:r>
      <w:r w:rsidRPr="009C2E2F">
        <w:rPr>
          <w:rFonts w:asciiTheme="majorHAnsi" w:hAnsiTheme="majorHAnsi"/>
          <w:sz w:val="18"/>
          <w:szCs w:val="18"/>
        </w:rPr>
        <w:t xml:space="preserve"> Kansas State Department of Education, “Assessment Literacy Project”; Ohio Department of Education, “</w:t>
      </w:r>
      <w:r w:rsidRPr="009C2E2F">
        <w:rPr>
          <w:rFonts w:asciiTheme="majorHAnsi" w:eastAsia="Corbel" w:hAnsiTheme="majorHAnsi"/>
          <w:sz w:val="18"/>
          <w:szCs w:val="18"/>
        </w:rPr>
        <w:t>Assessment Literacy: Identifying and Developing Valid and Reliable Assessments</w:t>
      </w:r>
      <w:r w:rsidRPr="009C2E2F">
        <w:rPr>
          <w:rFonts w:asciiTheme="majorHAnsi" w:hAnsiTheme="majorHAnsi"/>
          <w:sz w:val="18"/>
          <w:szCs w:val="18"/>
        </w:rPr>
        <w:t>” (2013); Relay Graduate School of Education,</w:t>
      </w:r>
      <w:r w:rsidRPr="009C2E2F">
        <w:rPr>
          <w:rFonts w:asciiTheme="majorHAnsi" w:hAnsiTheme="majorHAnsi"/>
          <w:color w:val="1F4E79"/>
          <w:sz w:val="18"/>
          <w:szCs w:val="18"/>
        </w:rPr>
        <w:t xml:space="preserve"> </w:t>
      </w:r>
      <w:r w:rsidRPr="009C2E2F">
        <w:rPr>
          <w:rFonts w:asciiTheme="majorHAnsi" w:hAnsiTheme="majorHAnsi"/>
          <w:i/>
          <w:sz w:val="18"/>
          <w:szCs w:val="18"/>
        </w:rPr>
        <w:t xml:space="preserve">Designing and Evaluating Assessments </w:t>
      </w:r>
      <w:r w:rsidRPr="009C2E2F">
        <w:rPr>
          <w:rFonts w:asciiTheme="majorHAnsi" w:hAnsiTheme="majorHAnsi"/>
          <w:sz w:val="18"/>
          <w:szCs w:val="18"/>
        </w:rPr>
        <w:t>(2014); and Rhode Island Department of Education, “Deeping Assessment Literacy.”</w:t>
      </w:r>
    </w:p>
  </w:endnote>
  <w:endnote w:id="2">
    <w:p w14:paraId="47016C26" w14:textId="77777777" w:rsidR="00725DF0" w:rsidRPr="009C2E2F" w:rsidRDefault="00725DF0" w:rsidP="00725DF0">
      <w:pPr>
        <w:pStyle w:val="EndnoteText"/>
        <w:rPr>
          <w:rFonts w:ascii="Corbel" w:hAnsi="Corbel"/>
          <w:sz w:val="18"/>
          <w:szCs w:val="18"/>
        </w:rPr>
      </w:pPr>
      <w:r w:rsidRPr="009C2E2F">
        <w:rPr>
          <w:rStyle w:val="EndnoteReference"/>
          <w:rFonts w:ascii="Corbel" w:hAnsi="Corbel"/>
          <w:sz w:val="18"/>
          <w:szCs w:val="18"/>
        </w:rPr>
        <w:endnoteRef/>
      </w:r>
      <w:r w:rsidRPr="009C2E2F">
        <w:rPr>
          <w:rFonts w:ascii="Corbel" w:hAnsi="Corbel"/>
          <w:sz w:val="18"/>
          <w:szCs w:val="18"/>
        </w:rPr>
        <w:t xml:space="preserve"> Moody, Michael, and Jason Stricker, </w:t>
      </w:r>
      <w:r w:rsidRPr="009C2E2F">
        <w:rPr>
          <w:rFonts w:ascii="Corbel" w:hAnsi="Corbel"/>
          <w:i/>
          <w:sz w:val="18"/>
          <w:szCs w:val="18"/>
        </w:rPr>
        <w:t>Strategic Design for Student Achievement</w:t>
      </w:r>
      <w:r w:rsidRPr="009C2E2F">
        <w:rPr>
          <w:rFonts w:ascii="Corbel" w:hAnsi="Corbel"/>
          <w:sz w:val="18"/>
          <w:szCs w:val="18"/>
        </w:rPr>
        <w:t xml:space="preserve"> (2008).</w:t>
      </w:r>
    </w:p>
  </w:endnote>
  <w:endnote w:id="3">
    <w:p w14:paraId="21879DA1" w14:textId="77777777" w:rsidR="009C2E2F" w:rsidRPr="009C2E2F" w:rsidRDefault="009C2E2F" w:rsidP="00484C16">
      <w:pPr>
        <w:pStyle w:val="EndnoteText"/>
        <w:rPr>
          <w:rFonts w:ascii="Corbel" w:hAnsi="Corbel"/>
          <w:sz w:val="18"/>
          <w:szCs w:val="18"/>
        </w:rPr>
      </w:pPr>
      <w:r w:rsidRPr="009C2E2F">
        <w:rPr>
          <w:rStyle w:val="EndnoteReference"/>
          <w:rFonts w:ascii="Corbel" w:hAnsi="Corbel"/>
          <w:sz w:val="18"/>
          <w:szCs w:val="18"/>
        </w:rPr>
        <w:endnoteRef/>
      </w:r>
      <w:r w:rsidRPr="009C2E2F">
        <w:rPr>
          <w:rFonts w:ascii="Corbel" w:hAnsi="Corbel"/>
          <w:sz w:val="18"/>
          <w:szCs w:val="18"/>
        </w:rPr>
        <w:t xml:space="preserve"> Iowa Department of Education, “Iowa Core K-12 Social Studies” (2010).</w:t>
      </w:r>
    </w:p>
  </w:endnote>
  <w:endnote w:id="4">
    <w:p w14:paraId="7728F161" w14:textId="25ECC1A5" w:rsidR="009C2E2F" w:rsidRPr="00DE5011" w:rsidRDefault="009C2E2F" w:rsidP="00726388">
      <w:pPr>
        <w:pStyle w:val="EndnoteText"/>
        <w:rPr>
          <w:rFonts w:ascii="Corbel" w:hAnsi="Corbel"/>
          <w:szCs w:val="22"/>
        </w:rPr>
      </w:pPr>
      <w:r w:rsidRPr="009C2E2F">
        <w:rPr>
          <w:rStyle w:val="EndnoteReference"/>
          <w:rFonts w:ascii="Corbel" w:hAnsi="Corbel"/>
          <w:sz w:val="18"/>
          <w:szCs w:val="18"/>
        </w:rPr>
        <w:endnoteRef/>
      </w:r>
      <w:r w:rsidRPr="009C2E2F">
        <w:rPr>
          <w:rFonts w:ascii="Corbel" w:hAnsi="Corbel"/>
          <w:sz w:val="18"/>
          <w:szCs w:val="18"/>
        </w:rPr>
        <w:t xml:space="preserve"> </w:t>
      </w:r>
      <w:r w:rsidR="002268F1">
        <w:rPr>
          <w:rFonts w:ascii="Corbel" w:hAnsi="Corbel"/>
          <w:sz w:val="18"/>
          <w:szCs w:val="18"/>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2268F1">
          <w:rPr>
            <w:noProof/>
          </w:rPr>
          <w:t>2</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F7F2B" w14:textId="77777777" w:rsidR="00C06169" w:rsidRDefault="00C06169" w:rsidP="00D5762E">
      <w:r>
        <w:separator/>
      </w:r>
    </w:p>
  </w:footnote>
  <w:footnote w:type="continuationSeparator" w:id="0">
    <w:p w14:paraId="3C1A767C" w14:textId="77777777" w:rsidR="00C06169" w:rsidRDefault="00C06169"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6">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30"/>
  </w:num>
  <w:num w:numId="8">
    <w:abstractNumId w:val="26"/>
  </w:num>
  <w:num w:numId="9">
    <w:abstractNumId w:val="38"/>
  </w:num>
  <w:num w:numId="10">
    <w:abstractNumId w:val="0"/>
  </w:num>
  <w:num w:numId="11">
    <w:abstractNumId w:val="36"/>
  </w:num>
  <w:num w:numId="12">
    <w:abstractNumId w:val="15"/>
  </w:num>
  <w:num w:numId="13">
    <w:abstractNumId w:val="18"/>
  </w:num>
  <w:num w:numId="14">
    <w:abstractNumId w:val="12"/>
  </w:num>
  <w:num w:numId="15">
    <w:abstractNumId w:val="2"/>
  </w:num>
  <w:num w:numId="16">
    <w:abstractNumId w:val="6"/>
  </w:num>
  <w:num w:numId="17">
    <w:abstractNumId w:val="41"/>
  </w:num>
  <w:num w:numId="18">
    <w:abstractNumId w:val="11"/>
  </w:num>
  <w:num w:numId="19">
    <w:abstractNumId w:val="1"/>
  </w:num>
  <w:num w:numId="20">
    <w:abstractNumId w:val="40"/>
  </w:num>
  <w:num w:numId="21">
    <w:abstractNumId w:val="39"/>
  </w:num>
  <w:num w:numId="22">
    <w:abstractNumId w:val="20"/>
  </w:num>
  <w:num w:numId="23">
    <w:abstractNumId w:val="28"/>
  </w:num>
  <w:num w:numId="24">
    <w:abstractNumId w:val="42"/>
  </w:num>
  <w:num w:numId="25">
    <w:abstractNumId w:val="3"/>
  </w:num>
  <w:num w:numId="26">
    <w:abstractNumId w:val="22"/>
  </w:num>
  <w:num w:numId="27">
    <w:abstractNumId w:val="5"/>
  </w:num>
  <w:num w:numId="28">
    <w:abstractNumId w:val="17"/>
  </w:num>
  <w:num w:numId="29">
    <w:abstractNumId w:val="43"/>
  </w:num>
  <w:num w:numId="30">
    <w:abstractNumId w:val="32"/>
  </w:num>
  <w:num w:numId="31">
    <w:abstractNumId w:val="29"/>
  </w:num>
  <w:num w:numId="32">
    <w:abstractNumId w:val="45"/>
  </w:num>
  <w:num w:numId="33">
    <w:abstractNumId w:val="4"/>
  </w:num>
  <w:num w:numId="34">
    <w:abstractNumId w:val="16"/>
  </w:num>
  <w:num w:numId="35">
    <w:abstractNumId w:val="33"/>
  </w:num>
  <w:num w:numId="36">
    <w:abstractNumId w:val="23"/>
  </w:num>
  <w:num w:numId="37">
    <w:abstractNumId w:val="8"/>
  </w:num>
  <w:num w:numId="38">
    <w:abstractNumId w:val="27"/>
  </w:num>
  <w:num w:numId="39">
    <w:abstractNumId w:val="7"/>
  </w:num>
  <w:num w:numId="40">
    <w:abstractNumId w:val="34"/>
  </w:num>
  <w:num w:numId="41">
    <w:abstractNumId w:val="44"/>
  </w:num>
  <w:num w:numId="42">
    <w:abstractNumId w:val="21"/>
  </w:num>
  <w:num w:numId="43">
    <w:abstractNumId w:val="25"/>
  </w:num>
  <w:num w:numId="44">
    <w:abstractNumId w:val="31"/>
  </w:num>
  <w:num w:numId="45">
    <w:abstractNumId w:val="35"/>
  </w:num>
  <w:num w:numId="46">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517"/>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20D"/>
    <w:rsid w:val="001D132C"/>
    <w:rsid w:val="001D229D"/>
    <w:rsid w:val="001D3BEF"/>
    <w:rsid w:val="001D4446"/>
    <w:rsid w:val="001D452A"/>
    <w:rsid w:val="001D556C"/>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68F1"/>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1466"/>
    <w:rsid w:val="00262971"/>
    <w:rsid w:val="00262D53"/>
    <w:rsid w:val="00262D74"/>
    <w:rsid w:val="00262D9C"/>
    <w:rsid w:val="00263EC8"/>
    <w:rsid w:val="002646E5"/>
    <w:rsid w:val="002652E0"/>
    <w:rsid w:val="00265C73"/>
    <w:rsid w:val="00266557"/>
    <w:rsid w:val="00270857"/>
    <w:rsid w:val="002710DE"/>
    <w:rsid w:val="002712E7"/>
    <w:rsid w:val="00271763"/>
    <w:rsid w:val="00271D41"/>
    <w:rsid w:val="00271F23"/>
    <w:rsid w:val="002720A9"/>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41B"/>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08CD"/>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4C16"/>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2D9"/>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AD7"/>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5DF0"/>
    <w:rsid w:val="00726388"/>
    <w:rsid w:val="007274DD"/>
    <w:rsid w:val="007276DF"/>
    <w:rsid w:val="0073120E"/>
    <w:rsid w:val="00732355"/>
    <w:rsid w:val="0073236B"/>
    <w:rsid w:val="00732727"/>
    <w:rsid w:val="00732A9D"/>
    <w:rsid w:val="00735590"/>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69A8"/>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3878"/>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B6F60"/>
    <w:rsid w:val="009C1A49"/>
    <w:rsid w:val="009C2866"/>
    <w:rsid w:val="009C2E2F"/>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0308"/>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4DC6"/>
    <w:rsid w:val="00AB5DCC"/>
    <w:rsid w:val="00AB6683"/>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15A"/>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169"/>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3D38"/>
    <w:rsid w:val="00CD4648"/>
    <w:rsid w:val="00CD600F"/>
    <w:rsid w:val="00CD7525"/>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1637"/>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8EA"/>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37DF5"/>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2F3"/>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2813"/>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2CF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C7AD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2F"/>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9C2E2F"/>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9C2E2F"/>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9C2E2F"/>
    <w:rPr>
      <w:caps/>
      <w:color w:val="588DC1" w:themeColor="accent4"/>
      <w:sz w:val="28"/>
      <w:szCs w:val="28"/>
    </w:rPr>
  </w:style>
  <w:style w:type="character" w:customStyle="1" w:styleId="Heading3Char">
    <w:name w:val="Heading 3 Char"/>
    <w:basedOn w:val="DefaultParagraphFont"/>
    <w:link w:val="Heading3"/>
    <w:uiPriority w:val="9"/>
    <w:rsid w:val="009C2E2F"/>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98DC-650C-4758-823C-EF4EB03B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49</cp:revision>
  <cp:lastPrinted>2015-01-13T12:43:00Z</cp:lastPrinted>
  <dcterms:created xsi:type="dcterms:W3CDTF">2015-04-23T16:34:00Z</dcterms:created>
  <dcterms:modified xsi:type="dcterms:W3CDTF">2015-05-08T10:17:00Z</dcterms:modified>
</cp:coreProperties>
</file>